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1E25" w14:textId="648431DE" w:rsidR="00BD1229" w:rsidRDefault="008A6871">
      <w:r>
        <w:t>М</w:t>
      </w:r>
      <w:r>
        <w:t>етод доходности инвестированного капитала при государственном регулировании тарифов в отношении Общества не применяется</w:t>
      </w:r>
      <w:r>
        <w:t>.</w:t>
      </w:r>
    </w:p>
    <w:sectPr w:rsidR="00B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4B"/>
    <w:rsid w:val="00757E4B"/>
    <w:rsid w:val="008A6871"/>
    <w:rsid w:val="00B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689"/>
  <w15:chartTrackingRefBased/>
  <w15:docId w15:val="{8B4241B3-D538-4613-ABFE-3092DC6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</dc:creator>
  <cp:keywords/>
  <dc:description/>
  <cp:lastModifiedBy>Наталия Раз</cp:lastModifiedBy>
  <cp:revision>2</cp:revision>
  <dcterms:created xsi:type="dcterms:W3CDTF">2022-01-24T08:38:00Z</dcterms:created>
  <dcterms:modified xsi:type="dcterms:W3CDTF">2022-01-24T08:39:00Z</dcterms:modified>
</cp:coreProperties>
</file>